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5932F673" w:rsidR="00580773" w:rsidRPr="00580773" w:rsidRDefault="00580773" w:rsidP="00B46B66">
            <w:pPr>
              <w:tabs>
                <w:tab w:val="left" w:pos="2980"/>
              </w:tabs>
              <w:ind w:right="-20"/>
              <w:rPr>
                <w:rFonts w:ascii="Arial" w:eastAsia="Arial" w:hAnsi="Arial" w:cs="Arial"/>
                <w:sz w:val="24"/>
                <w:szCs w:val="24"/>
              </w:rPr>
            </w:pPr>
            <w:r w:rsidRPr="008D32FE">
              <w:rPr>
                <w:rFonts w:ascii="Arial" w:eastAsia="Arial" w:hAnsi="Arial" w:cs="Arial"/>
                <w:b/>
                <w:bCs/>
                <w:spacing w:val="-1"/>
                <w:sz w:val="24"/>
                <w:szCs w:val="24"/>
              </w:rPr>
              <w:t>P</w:t>
            </w:r>
            <w:r w:rsidRPr="008D32FE">
              <w:rPr>
                <w:rFonts w:ascii="Arial" w:eastAsia="Arial" w:hAnsi="Arial" w:cs="Arial"/>
                <w:b/>
                <w:bCs/>
                <w:sz w:val="24"/>
                <w:szCs w:val="24"/>
              </w:rPr>
              <w:t>o</w:t>
            </w:r>
            <w:r w:rsidRPr="008D32FE">
              <w:rPr>
                <w:rFonts w:ascii="Arial" w:eastAsia="Arial" w:hAnsi="Arial" w:cs="Arial"/>
                <w:b/>
                <w:bCs/>
                <w:spacing w:val="-1"/>
                <w:sz w:val="24"/>
                <w:szCs w:val="24"/>
              </w:rPr>
              <w:t>s</w:t>
            </w:r>
            <w:r w:rsidRPr="008D32FE">
              <w:rPr>
                <w:rFonts w:ascii="Arial" w:eastAsia="Arial" w:hAnsi="Arial" w:cs="Arial"/>
                <w:b/>
                <w:bCs/>
                <w:sz w:val="24"/>
                <w:szCs w:val="24"/>
              </w:rPr>
              <w:t>t</w:t>
            </w:r>
            <w:r w:rsidRPr="008D32FE">
              <w:rPr>
                <w:rFonts w:ascii="Arial" w:eastAsia="Arial" w:hAnsi="Arial" w:cs="Arial"/>
                <w:b/>
                <w:bCs/>
                <w:spacing w:val="2"/>
                <w:sz w:val="24"/>
                <w:szCs w:val="24"/>
              </w:rPr>
              <w:t xml:space="preserve"> </w:t>
            </w:r>
            <w:r w:rsidRPr="008D32FE">
              <w:rPr>
                <w:rFonts w:ascii="Arial" w:eastAsia="Arial" w:hAnsi="Arial" w:cs="Arial"/>
                <w:b/>
                <w:bCs/>
                <w:spacing w:val="-1"/>
                <w:sz w:val="24"/>
                <w:szCs w:val="24"/>
              </w:rPr>
              <w:t>t</w:t>
            </w:r>
            <w:r w:rsidRPr="008D32FE">
              <w:rPr>
                <w:rFonts w:ascii="Arial" w:eastAsia="Arial" w:hAnsi="Arial" w:cs="Arial"/>
                <w:b/>
                <w:bCs/>
                <w:spacing w:val="1"/>
                <w:sz w:val="24"/>
                <w:szCs w:val="24"/>
              </w:rPr>
              <w:t>i</w:t>
            </w:r>
            <w:r w:rsidRPr="008D32FE">
              <w:rPr>
                <w:rFonts w:ascii="Arial" w:eastAsia="Arial" w:hAnsi="Arial" w:cs="Arial"/>
                <w:b/>
                <w:bCs/>
                <w:spacing w:val="-2"/>
                <w:sz w:val="24"/>
                <w:szCs w:val="24"/>
              </w:rPr>
              <w:t>t</w:t>
            </w:r>
            <w:r w:rsidRPr="008D32FE">
              <w:rPr>
                <w:rFonts w:ascii="Arial" w:eastAsia="Arial" w:hAnsi="Arial" w:cs="Arial"/>
                <w:b/>
                <w:bCs/>
                <w:spacing w:val="1"/>
                <w:sz w:val="24"/>
                <w:szCs w:val="24"/>
              </w:rPr>
              <w:t>l</w:t>
            </w:r>
            <w:r w:rsidRPr="008D32FE">
              <w:rPr>
                <w:rFonts w:ascii="Arial" w:eastAsia="Arial" w:hAnsi="Arial" w:cs="Arial"/>
                <w:b/>
                <w:bCs/>
                <w:sz w:val="24"/>
                <w:szCs w:val="24"/>
              </w:rPr>
              <w:t>e:</w:t>
            </w:r>
            <w:r w:rsidRPr="00580773">
              <w:rPr>
                <w:rFonts w:ascii="Arial" w:eastAsia="Arial" w:hAnsi="Arial" w:cs="Arial"/>
                <w:b/>
                <w:bCs/>
                <w:sz w:val="24"/>
                <w:szCs w:val="24"/>
              </w:rPr>
              <w:tab/>
            </w:r>
            <w:r w:rsidR="008D32FE">
              <w:rPr>
                <w:rFonts w:ascii="Arial" w:eastAsia="Arial" w:hAnsi="Arial" w:cs="Arial"/>
                <w:b/>
                <w:bCs/>
                <w:sz w:val="24"/>
                <w:szCs w:val="24"/>
              </w:rPr>
              <w:t xml:space="preserve">Service Administrator </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Pr="00580773">
              <w:rPr>
                <w:rFonts w:ascii="Arial" w:eastAsia="Arial" w:hAnsi="Arial" w:cs="Arial"/>
                <w:b/>
                <w:bCs/>
                <w:sz w:val="24"/>
                <w:szCs w:val="24"/>
              </w:rPr>
              <w:tab/>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3FCA58E6" w14:textId="4A1ECD45" w:rsidR="00580773" w:rsidRPr="00580773" w:rsidRDefault="00B035C1" w:rsidP="00580773">
            <w:pPr>
              <w:spacing w:before="29"/>
              <w:ind w:right="-20"/>
              <w:rPr>
                <w:rFonts w:ascii="Arial" w:hAnsi="Arial" w:cs="Arial"/>
                <w:sz w:val="24"/>
                <w:szCs w:val="24"/>
              </w:rPr>
            </w:pPr>
            <w:r w:rsidRPr="008D32FE">
              <w:rPr>
                <w:rFonts w:ascii="Arial" w:eastAsia="Arial" w:hAnsi="Arial" w:cs="Arial"/>
                <w:b/>
                <w:bCs/>
                <w:sz w:val="24"/>
                <w:szCs w:val="24"/>
              </w:rPr>
              <w:t>Service Description</w:t>
            </w:r>
            <w:r w:rsidR="00844A0D" w:rsidRPr="008D32FE">
              <w:rPr>
                <w:rFonts w:ascii="Arial" w:eastAsia="Arial" w:hAnsi="Arial" w:cs="Arial"/>
                <w:b/>
                <w:bCs/>
                <w:sz w:val="24"/>
                <w:szCs w:val="24"/>
              </w:rPr>
              <w:t>:</w:t>
            </w:r>
          </w:p>
          <w:p w14:paraId="760F4C7D" w14:textId="77777777" w:rsidR="00023160" w:rsidRPr="00023160" w:rsidRDefault="00023160" w:rsidP="00023160">
            <w:pPr>
              <w:spacing w:line="252" w:lineRule="exact"/>
              <w:ind w:left="476" w:right="516"/>
              <w:rPr>
                <w:rFonts w:ascii="Arial" w:eastAsia="Arial" w:hAnsi="Arial" w:cs="Arial"/>
                <w:sz w:val="24"/>
                <w:szCs w:val="24"/>
              </w:rPr>
            </w:pPr>
          </w:p>
          <w:p w14:paraId="59200832" w14:textId="77777777" w:rsidR="008D32FE" w:rsidRDefault="008D32FE" w:rsidP="008D32FE">
            <w:pPr>
              <w:pStyle w:val="NormalWeb"/>
              <w:rPr>
                <w:rFonts w:ascii="Arial" w:hAnsi="Arial" w:cs="Arial"/>
                <w:sz w:val="24"/>
                <w:szCs w:val="24"/>
              </w:rPr>
            </w:pPr>
            <w:r>
              <w:rPr>
                <w:rFonts w:ascii="Arial" w:hAnsi="Arial" w:cs="Arial"/>
                <w:sz w:val="24"/>
                <w:szCs w:val="24"/>
              </w:rPr>
              <w:t>We are an exciting new service which combines an IAPT-based service with a broader mental well-being support offer based in primary care settings. The service is delivered as a partnership of NHS and third sector providers which comprises of Leeds Community Healthcare NHS Trust, Leeds and York Partnership NHS Foundation Trust, Community Links, Touchstone, Northpoint Wellbeing, Women’s Counselling and Therapy Service, and Home-Start Leeds.</w:t>
            </w:r>
          </w:p>
          <w:p w14:paraId="3CE73AFC" w14:textId="77777777" w:rsidR="008D32FE" w:rsidRDefault="008D32FE" w:rsidP="008D32FE">
            <w:pPr>
              <w:pStyle w:val="NormalWeb"/>
              <w:spacing w:before="0" w:beforeAutospacing="0" w:after="200" w:afterAutospacing="0"/>
              <w:rPr>
                <w:rFonts w:ascii="Arial" w:hAnsi="Arial" w:cs="Arial"/>
                <w:sz w:val="24"/>
                <w:szCs w:val="24"/>
              </w:rPr>
            </w:pPr>
            <w:r>
              <w:rPr>
                <w:rFonts w:ascii="Arial" w:hAnsi="Arial" w:cs="Arial"/>
                <w:sz w:val="24"/>
                <w:szCs w:val="24"/>
              </w:rPr>
              <w:t xml:space="preserve">We exist to provide the best possible care in every community in Leeds and we encourage staff members to be at the heart of operational decisions. </w:t>
            </w:r>
            <w:r>
              <w:rPr>
                <w:rFonts w:ascii="Arial" w:hAnsi="Arial" w:cs="Arial"/>
                <w:sz w:val="24"/>
                <w:szCs w:val="24"/>
              </w:rPr>
              <w:br/>
            </w:r>
            <w:r>
              <w:rPr>
                <w:rFonts w:ascii="Arial" w:hAnsi="Arial" w:cs="Arial"/>
                <w:sz w:val="24"/>
                <w:szCs w:val="24"/>
              </w:rPr>
              <w:br/>
              <w:t xml:space="preserve">We support flexibility in working patterns as we strive to provide therapies which fit in with the </w:t>
            </w:r>
            <w:proofErr w:type="gramStart"/>
            <w:r>
              <w:rPr>
                <w:rFonts w:ascii="Arial" w:hAnsi="Arial" w:cs="Arial"/>
                <w:sz w:val="24"/>
                <w:szCs w:val="24"/>
              </w:rPr>
              <w:t>often busy</w:t>
            </w:r>
            <w:proofErr w:type="gramEnd"/>
            <w:r>
              <w:rPr>
                <w:rFonts w:ascii="Arial" w:hAnsi="Arial" w:cs="Arial"/>
                <w:sz w:val="24"/>
                <w:szCs w:val="24"/>
              </w:rPr>
              <w:t xml:space="preserve"> lives of clients.</w:t>
            </w:r>
          </w:p>
          <w:p w14:paraId="0DCEA0B4" w14:textId="77777777" w:rsidR="008D32FE" w:rsidRDefault="008D32FE" w:rsidP="008D32FE">
            <w:r>
              <w:rPr>
                <w:rFonts w:cs="Arial"/>
                <w:szCs w:val="24"/>
              </w:rPr>
              <w:t>LMWS is committed to ensuring the service reflects the diversity of the population it serves. We recognise that BAME communities are under-represented in the service. We are therefore especially keen to receive applications from under-represented communities. This is a core part of our service Vision &amp; Values, as we strive to reflect the communities that we support.</w:t>
            </w:r>
          </w:p>
          <w:p w14:paraId="43F64568" w14:textId="77777777" w:rsidR="00580773" w:rsidRPr="00580773" w:rsidRDefault="00580773" w:rsidP="00580773">
            <w:pPr>
              <w:spacing w:before="29"/>
              <w:ind w:left="116" w:right="-20"/>
              <w:rPr>
                <w:rFonts w:ascii="Arial" w:eastAsia="Arial" w:hAnsi="Arial" w:cs="Arial"/>
                <w:b/>
                <w:bCs/>
              </w:rPr>
            </w:pP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lastRenderedPageBreak/>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t 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e o</w:t>
      </w:r>
      <w:r w:rsidRPr="00CB07F4">
        <w:rPr>
          <w:rFonts w:ascii="Arial" w:eastAsia="Arial" w:hAnsi="Arial" w:cs="Arial"/>
          <w:spacing w:val="-3"/>
          <w:sz w:val="24"/>
          <w:szCs w:val="24"/>
        </w:rPr>
        <w:t>w</w:t>
      </w:r>
      <w:r w:rsidRPr="00CB07F4">
        <w:rPr>
          <w:rFonts w:ascii="Arial" w:eastAsia="Arial" w:hAnsi="Arial" w:cs="Arial"/>
          <w:sz w:val="24"/>
          <w:szCs w:val="24"/>
        </w:rPr>
        <w:t>n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z w:val="24"/>
          <w:szCs w:val="24"/>
        </w:rPr>
        <w:lastRenderedPageBreak/>
        <w:t>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greed</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lastRenderedPageBreak/>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 xml:space="preserve">ed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the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t>
      </w:r>
      <w:r w:rsidRPr="00CB07F4">
        <w:rPr>
          <w:rFonts w:ascii="Arial" w:eastAsia="Calibri" w:hAnsi="Arial" w:cs="Arial"/>
          <w:sz w:val="24"/>
          <w:szCs w:val="24"/>
        </w:rPr>
        <w:lastRenderedPageBreak/>
        <w:t xml:space="preserve">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Ensures that service user experience is core to all service development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1112CACF" w:rsidR="00844A0D" w:rsidRPr="000F31EA" w:rsidRDefault="008D32FE" w:rsidP="00AE7739">
            <w:pPr>
              <w:jc w:val="both"/>
              <w:rPr>
                <w:rFonts w:ascii="Arial" w:hAnsi="Arial"/>
                <w:sz w:val="24"/>
                <w:szCs w:val="24"/>
              </w:rPr>
            </w:pPr>
            <w:r>
              <w:rPr>
                <w:rFonts w:ascii="Arial" w:hAnsi="Arial"/>
                <w:sz w:val="24"/>
                <w:szCs w:val="24"/>
              </w:rPr>
              <w:t>37.5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1DEFEF4E" w:rsidR="00844A0D" w:rsidRPr="000F31EA" w:rsidRDefault="008D32FE" w:rsidP="00AE7739">
            <w:pPr>
              <w:jc w:val="both"/>
              <w:rPr>
                <w:rFonts w:ascii="Arial" w:hAnsi="Arial"/>
                <w:sz w:val="24"/>
                <w:szCs w:val="24"/>
              </w:rPr>
            </w:pPr>
            <w:r>
              <w:rPr>
                <w:rFonts w:ascii="Arial" w:hAnsi="Arial"/>
                <w:sz w:val="24"/>
                <w:szCs w:val="24"/>
              </w:rPr>
              <w:t xml:space="preserve">Permanent </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5D19304D" w:rsidR="00844A0D" w:rsidRPr="000F31EA" w:rsidRDefault="008D32FE" w:rsidP="00AE7739">
            <w:pPr>
              <w:jc w:val="both"/>
              <w:rPr>
                <w:rFonts w:ascii="Arial" w:hAnsi="Arial"/>
                <w:sz w:val="24"/>
                <w:szCs w:val="24"/>
              </w:rPr>
            </w:pPr>
            <w:r w:rsidRPr="008D32FE">
              <w:rPr>
                <w:rFonts w:ascii="Arial" w:hAnsi="Arial"/>
                <w:sz w:val="24"/>
                <w:szCs w:val="24"/>
              </w:rPr>
              <w:t>£23,615</w:t>
            </w:r>
            <w:r w:rsidR="000D6800">
              <w:rPr>
                <w:rFonts w:ascii="Arial" w:hAnsi="Arial"/>
                <w:sz w:val="24"/>
                <w:szCs w:val="24"/>
              </w:rPr>
              <w:t xml:space="preserve"> </w:t>
            </w:r>
            <w:r w:rsidR="00844A0D">
              <w:rPr>
                <w:rFonts w:ascii="Arial" w:hAnsi="Arial"/>
                <w:sz w:val="24"/>
                <w:szCs w:val="24"/>
              </w:rPr>
              <w:t xml:space="preserve">per </w:t>
            </w:r>
            <w:r w:rsidR="005450B4">
              <w:rPr>
                <w:rFonts w:ascii="Arial" w:hAnsi="Arial"/>
                <w:sz w:val="24"/>
                <w:szCs w:val="24"/>
              </w:rPr>
              <w:t>a</w:t>
            </w:r>
            <w:r w:rsidR="00844A0D">
              <w:rPr>
                <w:rFonts w:ascii="Arial" w:hAnsi="Arial"/>
                <w:sz w:val="24"/>
                <w:szCs w:val="24"/>
              </w:rPr>
              <w:t>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8D32FE" w:rsidRDefault="00844A0D" w:rsidP="00AE7739">
            <w:pPr>
              <w:jc w:val="both"/>
              <w:rPr>
                <w:rFonts w:ascii="Arial" w:hAnsi="Arial"/>
                <w:sz w:val="24"/>
                <w:szCs w:val="24"/>
              </w:rPr>
            </w:pPr>
            <w:r w:rsidRPr="008D32FE">
              <w:rPr>
                <w:rFonts w:ascii="Arial" w:hAnsi="Arial"/>
                <w:b/>
                <w:sz w:val="24"/>
                <w:szCs w:val="24"/>
              </w:rPr>
              <w:t>REHABILITATION OF OFFENDERS ACT 1974</w:t>
            </w:r>
          </w:p>
          <w:p w14:paraId="6BA076C0" w14:textId="501316F8" w:rsidR="00844A0D" w:rsidRPr="008D32FE" w:rsidRDefault="00844A0D" w:rsidP="00844A0D">
            <w:pPr>
              <w:jc w:val="both"/>
              <w:rPr>
                <w:rFonts w:ascii="Arial" w:hAnsi="Arial"/>
                <w:sz w:val="24"/>
                <w:szCs w:val="24"/>
              </w:rPr>
            </w:pPr>
            <w:r w:rsidRPr="008D32FE">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8D32FE" w:rsidRDefault="00844A0D" w:rsidP="00AE7739">
            <w:pPr>
              <w:jc w:val="both"/>
              <w:rPr>
                <w:rFonts w:ascii="Arial" w:hAnsi="Arial"/>
                <w:b/>
                <w:sz w:val="24"/>
                <w:szCs w:val="24"/>
              </w:rPr>
            </w:pPr>
            <w:r w:rsidRPr="008D32FE">
              <w:rPr>
                <w:rFonts w:ascii="Arial" w:hAnsi="Arial"/>
                <w:b/>
                <w:sz w:val="24"/>
                <w:szCs w:val="24"/>
              </w:rPr>
              <w:t>DBS CHECK (Formerly CRB)</w:t>
            </w:r>
          </w:p>
          <w:p w14:paraId="52772329" w14:textId="77777777" w:rsidR="00844A0D" w:rsidRPr="008D32FE" w:rsidRDefault="00844A0D" w:rsidP="00AE7739">
            <w:pPr>
              <w:jc w:val="both"/>
              <w:rPr>
                <w:rFonts w:ascii="Arial" w:hAnsi="Arial"/>
                <w:sz w:val="24"/>
                <w:szCs w:val="24"/>
              </w:rPr>
            </w:pPr>
            <w:r w:rsidRPr="008D32FE">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8D32FE" w:rsidRDefault="00844A0D" w:rsidP="00AE7739">
            <w:pPr>
              <w:jc w:val="both"/>
              <w:rPr>
                <w:rFonts w:ascii="Arial" w:hAnsi="Arial"/>
                <w:sz w:val="24"/>
                <w:szCs w:val="24"/>
              </w:rPr>
            </w:pPr>
            <w:r w:rsidRPr="008D32FE">
              <w:rPr>
                <w:rFonts w:ascii="Arial" w:hAnsi="Arial"/>
                <w:sz w:val="24"/>
                <w:szCs w:val="24"/>
              </w:rPr>
              <w:t>The Trust is compliant with the Disclosure &amp; Barring Service ‘Code of Practice’, a copy of which is available on request.</w:t>
            </w:r>
          </w:p>
          <w:p w14:paraId="3CD6CA4D" w14:textId="77777777" w:rsidR="00844A0D" w:rsidRPr="000F31EA" w:rsidRDefault="00844A0D" w:rsidP="00AE7739">
            <w:pPr>
              <w:jc w:val="both"/>
              <w:rPr>
                <w:rFonts w:ascii="Arial" w:hAnsi="Arial"/>
                <w:sz w:val="24"/>
                <w:szCs w:val="24"/>
              </w:rPr>
            </w:pPr>
            <w:r w:rsidRPr="008D32FE">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8D32FE">
              <w:rPr>
                <w:rFonts w:ascii="Arial" w:hAnsi="Arial"/>
                <w:sz w:val="24"/>
                <w:szCs w:val="24"/>
              </w:rPr>
              <w:t>on the basis of</w:t>
            </w:r>
            <w:proofErr w:type="gramEnd"/>
            <w:r w:rsidRPr="008D32FE">
              <w:rPr>
                <w:rFonts w:ascii="Arial" w:hAnsi="Arial"/>
                <w:sz w:val="24"/>
                <w:szCs w:val="24"/>
              </w:rPr>
              <w:t xml:space="preserve"> a conviction or other information revealed. A full Trust policy on the Recruitment of Ex-offenders is available on request.</w:t>
            </w: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w:t>
            </w:r>
            <w:r w:rsidRPr="000F31EA">
              <w:rPr>
                <w:rFonts w:ascii="Arial" w:hAnsi="Arial" w:cs="Arial"/>
                <w:sz w:val="24"/>
                <w:szCs w:val="24"/>
              </w:rPr>
              <w:lastRenderedPageBreak/>
              <w:t>to the 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B4237"/>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91810"/>
    <w:rsid w:val="008B5B33"/>
    <w:rsid w:val="008C50EB"/>
    <w:rsid w:val="008D32FE"/>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71671"/>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32FE"/>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MOORE, Abby-Jo (LEEDS COMMUNITY HEALTHCARE NHS TRUST)</cp:lastModifiedBy>
  <cp:revision>2</cp:revision>
  <cp:lastPrinted>2020-03-17T10:04:00Z</cp:lastPrinted>
  <dcterms:created xsi:type="dcterms:W3CDTF">2024-10-03T12:13:00Z</dcterms:created>
  <dcterms:modified xsi:type="dcterms:W3CDTF">2024-10-03T12:13:00Z</dcterms:modified>
</cp:coreProperties>
</file>